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biuro rachunkowe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prowadzi działalność gospodarczą, musi dbać o to, aby prawidłowo wypełniać dokumenty i w terminie rozliczać się z kontrahentami, pracownikami, ZUS-em czy Urzędem Skarbowym. W obliczu licznych zmian prawa gospodarczego i związanego z tym, rosnącego ryzyka biznesowego zwiększa się ilość przedsiębiorców zlecających prowadzenie ksiąg podmiotom zewnętrznym – nie bez przyczyny.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biur księgowych mają fachową wiedzę, uczestnicą w szkoleniach, na bieżąco śledzą zmiany w przepisach i najczęściej korzystają z nowoczesnego oprogramowania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odpowiedniego do wymaganych prawem działań raportowania do fiskusa, a to wszystko razem oznacza koszty. Mogłoby się wydawać, że samodzielne prowadzenie księgowości generuje spore oszczędności. W rzeczywistości jest jednak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oceniają, że gdy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zleca rachunkowość wyspecjalizowanym w niej podmiotom, może zredukować swoje koszty nawet o połowę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Właściciel firmy nie musi wtedy kupować specjalnych programów komputerowych ani opłacać szkoleń czy inwestować w systemy bezpiecznego przechowywania dokumentów. Niemniej powierzając komuś swoje rozliczenia, warto wiedzieć, czego powinniśmy od zewnętrznej księgowości wymagać i jaka jest odpowiedzialność naszego podwykonawcy za ewentualne błędy.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odpowiada za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Powierzenie księgowości firmie zewnętrznej nie oznacza, że właściciel przedsiębiorstwa przenosi na nią całkowitą odpowiedzialność za prowadzenie ksiąg rachunkowych i poczynione w nich błędy, np. niedokonanie na czas wpłat do ZUS-u czy błędne zapisy w dokumentach wysłanych do Urzędu Skarbowego. Tego nie może zmienić umowa podpisana z biurem rachunkowym czy doradcą podatkowym. Gdyby taki zapis został w kontrakcie umieszczony, zostanie on uznany za niezgodny z prawem i nie będzie respektowany przez organy karno-skarbowe. Niezależnie od umowy, to sam właściciel ryzykuje majątkiem osobistym i firmy, jeżeli na przykład dojdzie do egzekucji zaległych podatków lub składek na ubezpieczenie.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biuro zewnętrzne zajmujące się finansami przedsiębiorcy odpowiada za błędy popełnione przez swoich pracowników i musi partycypować w pokryciu ewentualnych kosztów</w:t>
      </w:r>
      <w:r>
        <w:rPr>
          <w:rFonts w:ascii="calibri" w:hAnsi="calibri" w:eastAsia="calibri" w:cs="calibri"/>
          <w:sz w:val="24"/>
          <w:szCs w:val="24"/>
        </w:rPr>
        <w:t xml:space="preserve">. Przedsiębiorca może bowiem domagać się odszkodowania w drodze procesu cywilnego. Mówi o tym art. 471 Kodeksu cywilnego, zgodnie z którym: „dłużnik obowiązany jest do naprawienia szkody wynikłej z niewykonania lub nienależytego wykonania zobowiązania, chyba że niewykonanie lub nienależyte wykonanie jest następstwem okoliczności, za które dłużnik odpowiedzialności nie ponosi”. </w:t>
      </w:r>
      <w:r>
        <w:rPr>
          <w:rFonts w:ascii="calibri" w:hAnsi="calibri" w:eastAsia="calibri" w:cs="calibri"/>
          <w:sz w:val="24"/>
          <w:szCs w:val="24"/>
          <w:b/>
        </w:rPr>
        <w:t xml:space="preserve">Pokrzywdzony właściciel firmy musi zatem udowodnić, że koszty, jakie poniósł, wynikały z konkretnych błędów biura rachunkowego</w:t>
      </w:r>
      <w:r>
        <w:rPr>
          <w:rFonts w:ascii="calibri" w:hAnsi="calibri" w:eastAsia="calibri" w:cs="calibri"/>
          <w:sz w:val="24"/>
          <w:szCs w:val="24"/>
        </w:rPr>
        <w:t xml:space="preserve">, a z kolei biuro księgowe może uniknąć odpowiedzialności za pomyłki, jeśli wykaże, że nie wystąpiły one z jego winy.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interesie obydwu stron leży, aby wiążąca je umowa dokładnie określała wzajemne zobowiązania. Warto też </w:t>
      </w:r>
      <w:r>
        <w:rPr>
          <w:rFonts w:ascii="calibri" w:hAnsi="calibri" w:eastAsia="calibri" w:cs="calibri"/>
          <w:sz w:val="24"/>
          <w:szCs w:val="24"/>
          <w:b/>
        </w:rPr>
        <w:t xml:space="preserve">dokumentować każdorazowo przekazywanie dokumentów</w:t>
      </w:r>
      <w:r>
        <w:rPr>
          <w:rFonts w:ascii="calibri" w:hAnsi="calibri" w:eastAsia="calibri" w:cs="calibri"/>
          <w:sz w:val="24"/>
          <w:szCs w:val="24"/>
        </w:rPr>
        <w:t xml:space="preserve">. Szczęśliwie zarówno przedsiębiorcom, jak biurom rachunkowym przychodzą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narzędzia księgowe umożliwiające szybką ewidencję</w:t>
      </w:r>
      <w:r>
        <w:rPr>
          <w:rFonts w:ascii="calibri" w:hAnsi="calibri" w:eastAsia="calibri" w:cs="calibri"/>
          <w:sz w:val="24"/>
          <w:szCs w:val="24"/>
        </w:rPr>
        <w:t xml:space="preserve"> i wymianę elektronicznych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Obowiązek ubezpieczenia biur rachunkowych – bezpieczniej dla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Ryzykuje przedsiębiorca, ryzykuje biuro, który zajmuje się jego księgowością. Aby egzekwowanie roszczeń przez właścicieli firm było prostsze, a jednocześnie firmy rachunkowe nie narażały się na konieczność regulowania zobowiązań, które przekraczają ich możliwości finansowe, ustawodawca w roku 2014 nałożył na przedsiębiorców wykonujących działalność z zakresu usługowego prowadzenia ksiąg rachunkowych obowiązek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posiadania ubezpieczenia od odpowiedzialności cywilnej za szkody wynikające ze źle prowadzonych dokumentów lub rozliczeń. Minimalną wielkość sumy gwarancyjnej ubezpieczenia OC uzależnia się od rodzaju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zakresu prowadzonej działalności. Jest to równowartość w złotych następujących kwot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euro: 5 tys. dla doradców podatkowych, 10 tys. dla firm zajmujących się księgami rachunkowymi i 15 tys. w przypadku równoczesnego prowadzenia ksiąg rachunkowych oraz usług doradztwa podatkowego. Odszkodowanie wypłaca zakład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 pieniędzy i terroryzm – przepisy unijne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biur rachunkowych może ponosić konsekwencje prawne, jeśli prowadził dokumentację lub rozliczenia przedsiębiorstwa, które zajmowało się praniem brudnych pieniędzy lub miało związek z działalnością terrorystyczną i zataiło to. Mówi o tym Dyrektywa AML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Zgodnie z tymi przepisami biuro rachunkowe ma obowiązek przeciwdziałania praniu brudnych pieniędzy i musi zgłaszać takie przypadki. Oznacza to konieczność rejestrowania transakcji gotówkowych na kwotę równą lub większą niż 10 tys. euro, oraz identyfikowania stron transakcji. . Właściciel biura musi wyznaczyć osobę odpowiedzialną za wykonywanie obowiązków wynikających z dyrektywy AML, tzw. Oficera, ponosząc z tego tytułu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lat w więzieniu za wyłudzenie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rozwiązań prawnych dotyczących również firm rachunkowych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doradców podatkowych, jest nowela Kodeksu Karnego, w którym pojawiły się nowe kategorie przestępstw. Mówimy tu o wystawianiu fikcyjnych faktur VAT, podrabianiu ich oraz przerabianiu i przedstawianiu jako autentycznych. Taryfikator kar przewiduje pozbawienie wolności do 25 lat w przypadku faktur wartości powyżej 10 mln złotych oraz 3-15 lat, jeśli przekraczają one 5 mln zł. Sprawcy ww. przestępstw mogą zostać potraktowani łagodniej, gdy wskażą osoby, które współdziałały z nimi przy fałszowaniu dokumentów oraz ujawnią wszystkie okoliczności dokonania tego fałszerstwa. Jeśli dodatkowo zwrócą wyłudzone pieniądze, mogą nawet uniknąć kary.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zajmującej się księgowością i doradztwem podatkowym to ogromna odpowiedzialność – nie tylko prawna, ale również finansowa. Biura rachunkowe, które mają zapewnić bezpieczeństwo sobie i swoim klientom ponoszą coraz wyższe koszty. Dlatego kierowanie się wyłącznie niską ceną realizowanych przez biuro usług, przy jego wyborze, może okazać się oszczędnością pozorną.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biznesowy Sage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Wyliczenia firmy Rödl &amp; Partner z „outsourcing księgowy – korzyści z przekazania obsługi księgowej na zewnątrz”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Rozporządzenie Ministra Finansów z dn. 6 listopada 2014 r. „W sprawie obowiązkowego ubezpieczenia odpowiedzialności cywilnej przedsiębiorców wykonujących działalność z zakresu usługowego prowadzenia ksiąg rachunkowych”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(Dz.U.2014 poz.1616)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IV Dyrektywa Parlamentu Europejskiego i Rady (UE) z 20 maja 2015 roku</w:t>
      </w:r>
      <w:r>
        <w:rPr>
          <w:rFonts w:ascii="calibri" w:hAnsi="calibri" w:eastAsia="calibri" w:cs="calibri"/>
          <w:sz w:val="24"/>
          <w:szCs w:val="24"/>
        </w:rPr>
        <w:t xml:space="preserve"> w kwestii </w:t>
      </w:r>
      <w:r>
        <w:rPr>
          <w:rFonts w:ascii="calibri" w:hAnsi="calibri" w:eastAsia="calibri" w:cs="calibri"/>
          <w:sz w:val="24"/>
          <w:szCs w:val="24"/>
        </w:rPr>
        <w:t xml:space="preserve">przeciwdziałania praniu pieniędzy (AML, Anti-Money Laundering) i finansowaniu terroryzmu (CTF, Counter Terrorist Financing)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9b0225454447fdf41c3d0bc2d16fa04c&amp;id=44783&amp;typ=epr#_ftn1" TargetMode="External"/><Relationship Id="rId8" Type="http://schemas.openxmlformats.org/officeDocument/2006/relationships/hyperlink" Target="http://symfonia.biuroprasowe.pl/word/?hash=9b0225454447fdf41c3d0bc2d16fa04c&amp;id=44783&amp;typ=epr#_ftn2" TargetMode="External"/><Relationship Id="rId9" Type="http://schemas.openxmlformats.org/officeDocument/2006/relationships/hyperlink" Target="http://symfonia.biuroprasowe.pl/word/?hash=9b0225454447fdf41c3d0bc2d16fa04c&amp;id=44783&amp;typ=epr#_ftn3" TargetMode="External"/><Relationship Id="rId10" Type="http://schemas.openxmlformats.org/officeDocument/2006/relationships/hyperlink" Target="http://symfonia.biuroprasowe.pl/word/?hash=9b0225454447fdf41c3d0bc2d16fa04c&amp;id=44783&amp;typ=eprmailto:katarzyna.kopka@mondaypr.pl" TargetMode="External"/><Relationship Id="rId11" Type="http://schemas.openxmlformats.org/officeDocument/2006/relationships/hyperlink" Target="http://symfonia.biuroprasowe.pl/word/?hash=9b0225454447fdf41c3d0bc2d16fa04c&amp;id=44783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9b0225454447fdf41c3d0bc2d16fa04c&amp;id=44783&amp;typ=epr#_ftnref1" TargetMode="External"/><Relationship Id="rId14" Type="http://schemas.openxmlformats.org/officeDocument/2006/relationships/hyperlink" Target="http://symfonia.biuroprasowe.pl/word/?hash=9b0225454447fdf41c3d0bc2d16fa04c&amp;id=44783&amp;typ=epr#_ftnref2" TargetMode="External"/><Relationship Id="rId15" Type="http://schemas.openxmlformats.org/officeDocument/2006/relationships/hyperlink" Target="http://www.podatki.biz/akty/061114.htm" TargetMode="External"/><Relationship Id="rId16" Type="http://schemas.openxmlformats.org/officeDocument/2006/relationships/hyperlink" Target="http://symfonia.biuroprasowe.pl/word/?hash=9b0225454447fdf41c3d0bc2d16fa04c&amp;id=44783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2026-05-30T01:27:52+02:00</dcterms:created>
  <dcterms:modified xsi:type="dcterms:W3CDTF">2026-05-30T01:27:52+02:00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