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Bezpieczne biuro rachunkowe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Każdy, kto prowadzi działalność gospodarczą, musi dbać o to, aby prawidłowo wypełniać dokumenty i w terminie rozliczać się z kontrahentami, pracownikami, ZUS-em czy Urzędem Skarbowym. W obliczu licznych zmian prawa gospodarczego i związanego z tym, rosnącego ryzyka biznesowego zwiększa się ilość przedsiębiorców zlecających prowadzenie ksiąg podmiotom zewnętrznym – nie bez przyczyny.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Pracownicy biur księgowych mają fachową wiedzę, uczestnicą w szkoleniach, na bieżąco śledzą zmiany w przepisach i najczęściej korzystają z nowoczesnego oprogramowania </w:t>
      </w:r>
    </w:p>
    <w:p>
      <w:r>
        <w:rPr>
          <w:rFonts w:ascii="calibri" w:hAnsi="calibri" w:eastAsia="calibri" w:cs="calibri"/>
          <w:sz w:val="24"/>
          <w:szCs w:val="24"/>
        </w:rPr>
        <w:t xml:space="preserve"> – odpowiedniego do wymaganych prawem działań raportowania do fiskusa, a to wszystko razem oznacza koszty. Mogłoby się wydawać, że samodzielne prowadzenie księgowości generuje spore oszczędności. W rzeczywistości jest jednak odwrotnie.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oceniają, że gdy </w:t>
      </w:r>
      <w:r>
        <w:rPr>
          <w:rFonts w:ascii="calibri" w:hAnsi="calibri" w:eastAsia="calibri" w:cs="calibri"/>
          <w:sz w:val="24"/>
          <w:szCs w:val="24"/>
          <w:b/>
        </w:rPr>
        <w:t xml:space="preserve">przedsiębiorca zleca rachunkowość wyspecjalizowanym w niej podmiotom, może zredukować swoje koszty nawet o połowę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Właściciel firmy nie musi wtedy kupować specjalnych programów komputerowych ani opłacać szkoleń czy inwestować w systemy bezpiecznego przechowywania dokumentów. Niemniej powierzając komuś swoje rozliczenia, warto wiedzieć, czego powinniśmy od zewnętrznej księgowości wymagać i jaka jest odpowiedzialność naszego podwykonawcy za ewentualne błędy.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odpowiada za błędy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Powierzenie księgowości firmie zewnętrznej nie oznacza, że właściciel przedsiębiorstwa przenosi na nią całkowitą odpowiedzialność za prowadzenie ksiąg rachunkowych i poczynione w nich błędy, np. niedokonanie na czas wpłat do ZUS-u czy błędne zapisy w dokumentach wysłanych do Urzędu Skarbowego. Tego nie może zmienić umowa podpisana z biurem rachunkowym czy doradcą podatkowym. Gdyby taki zapis został w kontrakcie umieszczony, zostanie on uznany za niezgodny z prawem i nie będzie respektowany przez organy karno-skarbowe. Niezależnie od umowy, to sam właściciel ryzykuje majątkiem osobistym i firmy, jeżeli na przykład dojdzie do egzekucji zaległych podatków lub składek na ubezpieczenie. Jednak </w:t>
      </w:r>
      <w:r>
        <w:rPr>
          <w:rFonts w:ascii="calibri" w:hAnsi="calibri" w:eastAsia="calibri" w:cs="calibri"/>
          <w:sz w:val="24"/>
          <w:szCs w:val="24"/>
          <w:b/>
        </w:rPr>
        <w:t xml:space="preserve">biuro zewnętrzne zajmujące się finansami przedsiębiorcy odpowiada za błędy popełnione przez swoich pracowników i musi partycypować w pokryciu ewentualnych kosztów</w:t>
      </w:r>
      <w:r>
        <w:rPr>
          <w:rFonts w:ascii="calibri" w:hAnsi="calibri" w:eastAsia="calibri" w:cs="calibri"/>
          <w:sz w:val="24"/>
          <w:szCs w:val="24"/>
        </w:rPr>
        <w:t xml:space="preserve">. Przedsiębiorca może bowiem domagać się odszkodowania w drodze procesu cywilnego. Mówi o tym art. 471 Kodeksu cywilnego, zgodnie z którym: „dłużnik obowiązany jest do naprawienia szkody wynikłej z niewykonania lub nienależytego wykonania zobowiązania, chyba że niewykonanie lub nienależyte wykonanie jest następstwem okoliczności, za które dłużnik odpowiedzialności nie ponosi”. </w:t>
      </w:r>
      <w:r>
        <w:rPr>
          <w:rFonts w:ascii="calibri" w:hAnsi="calibri" w:eastAsia="calibri" w:cs="calibri"/>
          <w:sz w:val="24"/>
          <w:szCs w:val="24"/>
          <w:b/>
        </w:rPr>
        <w:t xml:space="preserve">Pokrzywdzony właściciel firmy musi zatem udowodnić, że koszty, jakie poniósł, wynikały z konkretnych błędów biura rachunkowego</w:t>
      </w:r>
      <w:r>
        <w:rPr>
          <w:rFonts w:ascii="calibri" w:hAnsi="calibri" w:eastAsia="calibri" w:cs="calibri"/>
          <w:sz w:val="24"/>
          <w:szCs w:val="24"/>
        </w:rPr>
        <w:t xml:space="preserve">, a z kolei biuro księgowe może uniknąć odpowiedzialności za pomyłki, jeśli wykaże, że nie wystąpiły one z jego winy.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w interesie obydwu stron leży, aby wiążąca je umowa dokładnie określała wzajemne zobowiązania. Warto też </w:t>
      </w:r>
      <w:r>
        <w:rPr>
          <w:rFonts w:ascii="calibri" w:hAnsi="calibri" w:eastAsia="calibri" w:cs="calibri"/>
          <w:sz w:val="24"/>
          <w:szCs w:val="24"/>
          <w:b/>
        </w:rPr>
        <w:t xml:space="preserve">dokumentować każdorazowo przekazywanie dokumentów</w:t>
      </w:r>
      <w:r>
        <w:rPr>
          <w:rFonts w:ascii="calibri" w:hAnsi="calibri" w:eastAsia="calibri" w:cs="calibri"/>
          <w:sz w:val="24"/>
          <w:szCs w:val="24"/>
        </w:rPr>
        <w:t xml:space="preserve">. Szczęśliwie zarówno przedsiębiorcom, jak biurom rachunkowym przychodzą z pomocą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narzędzia księgowe umożliwiające szybką ewidencję</w:t>
      </w:r>
      <w:r>
        <w:rPr>
          <w:rFonts w:ascii="calibri" w:hAnsi="calibri" w:eastAsia="calibri" w:cs="calibri"/>
          <w:sz w:val="24"/>
          <w:szCs w:val="24"/>
        </w:rPr>
        <w:t xml:space="preserve"> i wymianę elektronicznych dokumentów.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Obowiązek ubezpieczenia biur rachunkowych – bezpieczniej dla stron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Ryzykuje przedsiębiorca, ryzykuje biuro, który zajmuje się jego księgowością. Aby egzekwowanie roszczeń przez właścicieli firm było prostsze, a jednocześnie firmy rachunkowe nie narażały się na konieczność regulowania zobowiązań, które przekraczają ich możliwości finansowe, ustawodawca w roku 2014 nałożył na przedsiębiorców wykonujących działalność z zakresu usługowego prowadzenia ksiąg rachunkowych obowiązek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posiadania ubezpieczenia od odpowiedzialności cywilnej za szkody wynikające ze źle prowadzonych dokumentów lub rozliczeń. Minimalną wielkość sumy gwarancyjnej ubezpieczenia OC uzależnia się od rodzaju </w:t>
      </w:r>
    </w:p>
    <w:p>
      <w:r>
        <w:rPr>
          <w:rFonts w:ascii="calibri" w:hAnsi="calibri" w:eastAsia="calibri" w:cs="calibri"/>
          <w:sz w:val="24"/>
          <w:szCs w:val="24"/>
        </w:rPr>
        <w:t xml:space="preserve"> i zakresu prowadzonej działalności. Jest to równowartość w złotych następujących kwot </w:t>
      </w:r>
    </w:p>
    <w:p>
      <w:r>
        <w:rPr>
          <w:rFonts w:ascii="calibri" w:hAnsi="calibri" w:eastAsia="calibri" w:cs="calibri"/>
          <w:sz w:val="24"/>
          <w:szCs w:val="24"/>
        </w:rPr>
        <w:t xml:space="preserve"> w euro: 5 tys. dla doradców podatkowych, 10 tys. dla firm zajmujących się księgami rachunkowymi i 15 tys. w przypadku równoczesnego prowadzenia ksiąg rachunkowych oraz usług doradztwa podatkowego. Odszkodowanie wypłaca zakład ubezpieczeń.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Pranie pieniędzy i terroryzm – przepisy unijne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biur rachunkowych może ponosić konsekwencje prawne, jeśli prowadził dokumentację lub rozliczenia przedsiębiorstwa, które zajmowało się praniem brudnych pieniędzy lub miało związek z działalnością terrorystyczną i zataiło to. Mówi o tym Dyrektywa AML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Zgodnie z tymi przepisami biuro rachunkowe ma obowiązek przeciwdziałania praniu brudnych pieniędzy i musi zgłaszać takie przypadki. Oznacza to konieczność rejestrowania transakcji gotówkowych na kwotę równą lub większą niż 10 tys. euro, oraz identyfikowania stron transakcji. . Właściciel biura musi wyznaczyć osobę odpowiedzialną za wykonywanie obowiązków wynikających z dyrektywy AML, tzw. Oficera, ponosząc z tego tytułu dodatkowe koszty.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25 lat w więzieniu za wyłudzenie VAT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najnowszych rozwiązań prawnych dotyczących również firm rachunkowych </w:t>
      </w:r>
    </w:p>
    <w:p>
      <w:r>
        <w:rPr>
          <w:rFonts w:ascii="calibri" w:hAnsi="calibri" w:eastAsia="calibri" w:cs="calibri"/>
          <w:sz w:val="24"/>
          <w:szCs w:val="24"/>
        </w:rPr>
        <w:t xml:space="preserve"> i doradców podatkowych, jest nowela Kodeksu Karnego, w którym pojawiły się nowe kategorie przestępstw. Mówimy tu o wystawianiu fikcyjnych faktur VAT, podrabianiu ich oraz przerabianiu i przedstawianiu jako autentycznych. Taryfikator kar przewiduje pozbawienie wolności do 25 lat w przypadku faktur wartości powyżej 10 mln złotych oraz 3-15 lat, jeśli przekraczają one 5 mln zł. Sprawcy ww. przestępstw mogą zostać potraktowani łagodniej, gdy wskażą osoby, które współdziałały z nimi przy fałszowaniu dokumentów oraz ujawnią wszystkie okoliczności dokonania tego fałszerstwa. Jeśli dodatkowo zwrócą wyłudzone pieniądze, mogą nawet uniknąć kary.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firmy zajmującej się księgowością i doradztwem podatkowym to ogromna odpowiedzialność – nie tylko prawna, ale również finansowa. Biura rachunkowe, które mają zapewnić bezpieczeństwo sobie i swoim klientom ponoszą coraz wyższe koszty. Dlatego kierowanie się wyłącznie niską ceną realizowanych przez biuro usług, przy jego wyborze, może okazać się oszczędnością pozorną.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Bogdan Zatorski, ekspert biznesowy Sage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i kontakt z ekspertem Sage: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Kopka: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katarzyna.kopka@mondaypr.pl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735 938 504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Patrycja Polakiewicz-Sobczuk: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patrycja.polakiewicz-sobczuk@mondaypr.pl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532 753 385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Sage jest liderem na rynku zintegrowanych systemów finansowo-księgowych i kadrowo-płacowych, wspierający przedsiębiorców na całym świecie. Trzydzieści lat temu sama rozpoczynała jako niewielka brytyjska firma, a teraz zatrudnia ponad 13.000 pracowników, którzy w 23 państwach obsługują miliony przedsiębiorców, będących motorem światowej gospodarki. Sage zmienia oblicze i upraszcza rachunkowość w firmach stosując błyskotliwe rozwiązania opracowane we współpracy z prężnie działającymi przedsiębiorcami, właścicielami firm, handlowcami, księgowymi, partnerami i programistami. Jako spółka ujęta we wskaźniku giełdowym FTSE 100, aktywnie wspiera środowiska lokalne i angażuje się w zmienianie świata poprzez filantropijną działalność Fundacji Sage.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Sage – lider na rynku zintegrowanych systemów finansowo-księgowych i kadrowo-płacowych, wspierający przedsiębiorców na całym świecie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www.sage.com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Wyliczenia firmy Rödl &amp; Partner z „outsourcing księgowy – korzyści z przekazania obsługi księgowej na zewnątrz”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Rozporządzenie Ministra Finansów z dn. 6 listopada 2014 r. „W sprawie obowiązkowego ubezpieczenia odpowiedzialności cywilnej przedsiębiorców wykonujących działalność z zakresu usługowego prowadzenia ksiąg rachunkowych”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(Dz.U.2014 poz.1616)</w:t>
        </w:r>
      </w:hyperlink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IV Dyrektywa Parlamentu Europejskiego i Rady (UE) z 20 maja 2015 roku</w:t>
      </w:r>
      <w:r>
        <w:rPr>
          <w:rFonts w:ascii="calibri" w:hAnsi="calibri" w:eastAsia="calibri" w:cs="calibri"/>
          <w:sz w:val="24"/>
          <w:szCs w:val="24"/>
        </w:rPr>
        <w:t xml:space="preserve"> w kwestii </w:t>
      </w:r>
      <w:r>
        <w:rPr>
          <w:rFonts w:ascii="calibri" w:hAnsi="calibri" w:eastAsia="calibri" w:cs="calibri"/>
          <w:sz w:val="24"/>
          <w:szCs w:val="24"/>
        </w:rPr>
        <w:t xml:space="preserve">przeciwdziałania praniu pieniędzy (AML, Anti-Money Laundering) i finansowaniu terroryzmu (CTF, Counter Terrorist Financing)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ymfonia.biuroprasowe.pl/word/?typ=epr&amp;id=44783&amp;hash=9b0225454447fdf41c3d0bc2d16fa04c#_ftn1" TargetMode="External"/><Relationship Id="rId8" Type="http://schemas.openxmlformats.org/officeDocument/2006/relationships/hyperlink" Target="http://symfonia.biuroprasowe.pl/word/?typ=epr&amp;id=44783&amp;hash=9b0225454447fdf41c3d0bc2d16fa04c#_ftn2" TargetMode="External"/><Relationship Id="rId9" Type="http://schemas.openxmlformats.org/officeDocument/2006/relationships/hyperlink" Target="http://symfonia.biuroprasowe.pl/word/?typ=epr&amp;id=44783&amp;hash=9b0225454447fdf41c3d0bc2d16fa04c#_ftn3" TargetMode="External"/><Relationship Id="rId10" Type="http://schemas.openxmlformats.org/officeDocument/2006/relationships/hyperlink" Target="http://symfonia.biuroprasowe.pl/word/?typ=epr&amp;id=44783&amp;hash=9b0225454447fdf41c3d0bc2d16fa04cmailto:katarzyna.kopka@mondaypr.pl" TargetMode="External"/><Relationship Id="rId11" Type="http://schemas.openxmlformats.org/officeDocument/2006/relationships/hyperlink" Target="http://symfonia.biuroprasowe.pl/word/?typ=epr&amp;id=44783&amp;hash=9b0225454447fdf41c3d0bc2d16fa04cmailto:patrycja.polakiewicz-sobczuk@mondaypr.pl" TargetMode="External"/><Relationship Id="rId12" Type="http://schemas.openxmlformats.org/officeDocument/2006/relationships/hyperlink" Target="http://www.sage.com/" TargetMode="External"/><Relationship Id="rId13" Type="http://schemas.openxmlformats.org/officeDocument/2006/relationships/hyperlink" Target="http://symfonia.biuroprasowe.pl/word/?typ=epr&amp;id=44783&amp;hash=9b0225454447fdf41c3d0bc2d16fa04c#_ftnref1" TargetMode="External"/><Relationship Id="rId14" Type="http://schemas.openxmlformats.org/officeDocument/2006/relationships/hyperlink" Target="http://symfonia.biuroprasowe.pl/word/?typ=epr&amp;id=44783&amp;hash=9b0225454447fdf41c3d0bc2d16fa04c#_ftnref2" TargetMode="External"/><Relationship Id="rId15" Type="http://schemas.openxmlformats.org/officeDocument/2006/relationships/hyperlink" Target="http://www.podatki.biz/akty/061114.htm" TargetMode="External"/><Relationship Id="rId16" Type="http://schemas.openxmlformats.org/officeDocument/2006/relationships/hyperlink" Target="http://symfonia.biuroprasowe.pl/word/?typ=epr&amp;id=44783&amp;hash=9b0225454447fdf41c3d0bc2d16fa04c#_ftnre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2024-05-17T10:02:01+02:00</dcterms:created>
  <dcterms:modified xsi:type="dcterms:W3CDTF">2024-05-17T10:02:01+02:00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